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hAnsi="华文中宋" w:eastAsia="方正小标宋简体" w:cs="Arial Unicode MS"/>
          <w:sz w:val="44"/>
          <w:szCs w:val="44"/>
        </w:rPr>
      </w:pPr>
    </w:p>
    <w:p>
      <w:pPr>
        <w:spacing w:line="600" w:lineRule="exact"/>
        <w:jc w:val="center"/>
        <w:rPr>
          <w:rFonts w:ascii="仿宋_GB2312" w:hAnsi="华文中宋" w:eastAsia="仿宋_GB2312" w:cs="仿宋_GB2312"/>
          <w:sz w:val="32"/>
          <w:szCs w:val="32"/>
        </w:rPr>
      </w:pPr>
    </w:p>
    <w:p>
      <w:pPr>
        <w:spacing w:line="600" w:lineRule="exact"/>
        <w:jc w:val="center"/>
        <w:rPr>
          <w:rFonts w:ascii="仿宋_GB2312" w:hAnsi="华文中宋" w:eastAsia="仿宋_GB2312" w:cs="仿宋_GB2312"/>
          <w:sz w:val="32"/>
          <w:szCs w:val="32"/>
        </w:rPr>
      </w:pPr>
    </w:p>
    <w:p>
      <w:pPr>
        <w:spacing w:line="600" w:lineRule="exact"/>
        <w:jc w:val="center"/>
        <w:rPr>
          <w:rFonts w:ascii="仿宋_GB2312" w:hAnsi="华文中宋" w:eastAsia="仿宋_GB2312" w:cs="仿宋_GB2312"/>
          <w:sz w:val="32"/>
          <w:szCs w:val="32"/>
        </w:rPr>
      </w:pPr>
    </w:p>
    <w:p>
      <w:pPr>
        <w:spacing w:line="600" w:lineRule="exact"/>
        <w:jc w:val="center"/>
        <w:rPr>
          <w:rFonts w:ascii="仿宋_GB2312" w:hAnsi="华文中宋" w:eastAsia="仿宋_GB2312" w:cs="仿宋_GB2312"/>
          <w:sz w:val="32"/>
          <w:szCs w:val="32"/>
        </w:rPr>
      </w:pPr>
    </w:p>
    <w:p>
      <w:pPr>
        <w:spacing w:line="600" w:lineRule="exact"/>
        <w:jc w:val="center"/>
        <w:rPr>
          <w:rFonts w:ascii="方正小标宋简体" w:hAnsi="华文中宋" w:eastAsia="方正小标宋简体" w:cs="Arial Unicode MS"/>
          <w:sz w:val="44"/>
          <w:szCs w:val="44"/>
        </w:rPr>
      </w:pPr>
      <w:r>
        <w:rPr>
          <w:rFonts w:hint="eastAsia" w:ascii="仿宋_GB2312" w:hAnsi="华文中宋" w:eastAsia="仿宋_GB2312" w:cs="仿宋_GB2312"/>
          <w:sz w:val="32"/>
          <w:szCs w:val="32"/>
        </w:rPr>
        <w:t>滕财发</w:t>
      </w:r>
      <w:r>
        <w:rPr>
          <w:rFonts w:hint="eastAsia" w:ascii="仿宋_GB2312" w:hAnsi="宋体" w:eastAsia="仿宋_GB2312" w:cs="宋体"/>
          <w:sz w:val="32"/>
          <w:szCs w:val="32"/>
        </w:rPr>
        <w:t>〔</w:t>
      </w:r>
      <w:r>
        <w:rPr>
          <w:rFonts w:hint="eastAsia" w:ascii="仿宋_GB2312" w:hAnsi="华文中宋" w:eastAsia="仿宋_GB2312"/>
          <w:sz w:val="32"/>
          <w:szCs w:val="32"/>
        </w:rPr>
        <w:t>2023</w:t>
      </w:r>
      <w:r>
        <w:rPr>
          <w:rFonts w:hint="eastAsia" w:ascii="仿宋_GB2312" w:hAnsi="宋体" w:eastAsia="仿宋_GB2312" w:cs="宋体"/>
          <w:sz w:val="32"/>
          <w:szCs w:val="32"/>
        </w:rPr>
        <w:t>〕</w:t>
      </w:r>
      <w:r>
        <w:rPr>
          <w:rFonts w:hint="eastAsia" w:ascii="仿宋_GB2312" w:hAnsi="华文中宋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华文中宋" w:eastAsia="仿宋_GB2312" w:cs="仿宋_GB2312"/>
          <w:sz w:val="32"/>
          <w:szCs w:val="32"/>
        </w:rPr>
        <w:t>号</w:t>
      </w:r>
    </w:p>
    <w:p>
      <w:pPr>
        <w:spacing w:line="600" w:lineRule="exact"/>
        <w:jc w:val="center"/>
        <w:rPr>
          <w:rFonts w:ascii="方正小标宋简体" w:hAnsi="华文中宋" w:eastAsia="方正小标宋简体" w:cs="Arial Unicode MS"/>
          <w:sz w:val="44"/>
          <w:szCs w:val="44"/>
        </w:rPr>
      </w:pPr>
    </w:p>
    <w:p>
      <w:pPr>
        <w:spacing w:line="640" w:lineRule="exact"/>
        <w:jc w:val="center"/>
        <w:rPr>
          <w:rFonts w:eastAsia="仿宋_GB2312"/>
          <w:color w:val="000000"/>
          <w:sz w:val="32"/>
        </w:rPr>
      </w:pPr>
    </w:p>
    <w:p>
      <w:pPr>
        <w:spacing w:line="600" w:lineRule="exact"/>
        <w:jc w:val="center"/>
        <w:rPr>
          <w:rFonts w:ascii="方正小标宋简体" w:eastAsia="方正小标宋简体"/>
          <w:bCs/>
          <w:color w:val="000000"/>
          <w:sz w:val="44"/>
        </w:rPr>
      </w:pPr>
      <w:r>
        <w:rPr>
          <w:rFonts w:hint="eastAsia" w:ascii="方正小标宋简体" w:eastAsia="方正小标宋简体"/>
          <w:bCs/>
          <w:color w:val="000000"/>
          <w:sz w:val="44"/>
        </w:rPr>
        <w:t>关于组织开展202</w:t>
      </w:r>
      <w:r>
        <w:rPr>
          <w:rFonts w:hint="eastAsia" w:ascii="方正小标宋简体" w:eastAsia="方正小标宋简体"/>
          <w:bCs/>
          <w:color w:val="000000"/>
          <w:sz w:val="44"/>
          <w:lang w:val="en-US" w:eastAsia="zh-CN"/>
        </w:rPr>
        <w:t>3</w:t>
      </w:r>
      <w:r>
        <w:rPr>
          <w:rFonts w:hint="eastAsia" w:ascii="方正小标宋简体" w:eastAsia="方正小标宋简体"/>
          <w:bCs/>
          <w:color w:val="000000"/>
          <w:sz w:val="44"/>
        </w:rPr>
        <w:t>年会计信息质量检查的通知</w:t>
      </w:r>
    </w:p>
    <w:p>
      <w:pPr>
        <w:spacing w:line="600" w:lineRule="exact"/>
        <w:jc w:val="center"/>
        <w:rPr>
          <w:rFonts w:ascii="宋体" w:hAnsi="宋体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color w:val="000000"/>
          <w:sz w:val="32"/>
          <w:lang w:eastAsia="zh-CN"/>
        </w:rPr>
        <w:t>市直各部门（单位），</w:t>
      </w:r>
      <w:r>
        <w:rPr>
          <w:rFonts w:hint="eastAsia" w:ascii="仿宋_GB2312" w:hAnsi="宋体" w:eastAsia="仿宋_GB2312"/>
          <w:color w:val="000000"/>
          <w:sz w:val="32"/>
        </w:rPr>
        <w:t>各</w:t>
      </w:r>
      <w:r>
        <w:rPr>
          <w:rFonts w:hint="eastAsia" w:ascii="仿宋_GB2312" w:hAnsi="宋体" w:eastAsia="仿宋_GB2312"/>
          <w:color w:val="000000"/>
          <w:sz w:val="32"/>
          <w:lang w:eastAsia="zh-CN"/>
        </w:rPr>
        <w:t>企业</w:t>
      </w:r>
      <w:r>
        <w:rPr>
          <w:rFonts w:hint="eastAsia" w:ascii="仿宋_GB2312" w:hAnsi="宋体" w:eastAsia="仿宋_GB2312"/>
          <w:sz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为深入贯彻《中共中央办公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厅 国务院办公厅印发〈关于进一步加强财会监督工作的意见〉的通知》（中办发〔2023〕4号，以下简称《意见》）精神，依据《中华人民共和国会计法》等法律法规，按照《财政部关于组织地方财政部门开展2023年度会计和评估监督检查工作的通知》（财监〔2023〕5号）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《</w:t>
      </w:r>
      <w:r>
        <w:rPr>
          <w:rFonts w:hint="eastAsia" w:ascii="仿宋_GB2312" w:eastAsia="仿宋_GB2312"/>
          <w:sz w:val="32"/>
          <w:szCs w:val="32"/>
          <w:lang w:eastAsia="zh-CN"/>
        </w:rPr>
        <w:t>山东</w:t>
      </w:r>
      <w:r>
        <w:rPr>
          <w:rFonts w:hint="eastAsia" w:ascii="仿宋_GB2312" w:eastAsia="仿宋_GB2312"/>
          <w:sz w:val="32"/>
          <w:szCs w:val="32"/>
        </w:rPr>
        <w:t>省财政厅关于组织开展202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年会计信息质量检查的通知》（鲁财监〔202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6号）</w:t>
      </w:r>
      <w:r>
        <w:rPr>
          <w:rFonts w:hint="eastAsia" w:ascii="仿宋_GB2312" w:eastAsia="仿宋_GB2312"/>
          <w:sz w:val="32"/>
          <w:szCs w:val="32"/>
          <w:lang w:eastAsia="zh-CN"/>
        </w:rPr>
        <w:t>和</w:t>
      </w:r>
      <w:r>
        <w:rPr>
          <w:rFonts w:hint="eastAsia" w:ascii="仿宋_GB2312" w:eastAsia="仿宋_GB2312"/>
          <w:sz w:val="32"/>
          <w:szCs w:val="32"/>
        </w:rPr>
        <w:t>《</w:t>
      </w:r>
      <w:r>
        <w:rPr>
          <w:rFonts w:hint="eastAsia" w:ascii="仿宋_GB2312" w:eastAsia="仿宋_GB2312"/>
          <w:sz w:val="32"/>
          <w:szCs w:val="32"/>
          <w:lang w:eastAsia="zh-CN"/>
        </w:rPr>
        <w:t>枣庄市财政局</w:t>
      </w:r>
      <w:r>
        <w:rPr>
          <w:rFonts w:hint="eastAsia" w:ascii="仿宋_GB2312" w:eastAsia="仿宋_GB2312"/>
          <w:sz w:val="32"/>
          <w:szCs w:val="32"/>
        </w:rPr>
        <w:t>关于组织开展202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年会计信息质量检查的通知》（</w:t>
      </w:r>
      <w:r>
        <w:rPr>
          <w:rFonts w:hint="eastAsia" w:ascii="仿宋_GB2312" w:eastAsia="仿宋_GB2312"/>
          <w:sz w:val="32"/>
          <w:szCs w:val="32"/>
          <w:lang w:eastAsia="zh-CN"/>
        </w:rPr>
        <w:t>枣</w:t>
      </w:r>
      <w:r>
        <w:rPr>
          <w:rFonts w:hint="eastAsia" w:ascii="仿宋_GB2312" w:eastAsia="仿宋_GB2312"/>
          <w:sz w:val="32"/>
          <w:szCs w:val="32"/>
        </w:rPr>
        <w:t>财监〔202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号）要求，结合我市工作实际，现确定组织开展全市202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年会计信息质量检查工作。有关事项通知如下：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一、检查范围及对象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财政部门依法对本地区重点企业、行政事业单位等开展会计信息质量检查。</w:t>
      </w:r>
      <w:r>
        <w:rPr>
          <w:rFonts w:hint="eastAsia" w:ascii="仿宋_GB2312" w:eastAsia="仿宋_GB2312"/>
          <w:sz w:val="32"/>
          <w:szCs w:val="32"/>
          <w:lang w:eastAsia="zh-CN"/>
        </w:rPr>
        <w:t>根据我市实际情况，决定检查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2家行政事业单位和2家企业（其中：国有企业1家、民营企业1家），检查对象</w:t>
      </w:r>
      <w:r>
        <w:rPr>
          <w:rFonts w:hint="eastAsia" w:ascii="仿宋_GB2312" w:eastAsia="仿宋_GB2312"/>
          <w:sz w:val="32"/>
          <w:szCs w:val="32"/>
          <w:lang w:eastAsia="zh-CN"/>
        </w:rPr>
        <w:t>通过山东省“互联网+监管”系统“双随机监管”平台随机抽取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二、检查内容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（一）行政事业单位检查内容。</w:t>
      </w:r>
      <w:r>
        <w:rPr>
          <w:rFonts w:hint="eastAsia" w:ascii="仿宋_GB2312" w:eastAsia="仿宋_GB2312"/>
          <w:sz w:val="32"/>
          <w:szCs w:val="32"/>
        </w:rPr>
        <w:t>重点关注有关行政事业单位2022年度政府会计准则制度执行情况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和会计基础工作规范化情况</w:t>
      </w:r>
      <w:r>
        <w:rPr>
          <w:rFonts w:hint="eastAsia" w:ascii="仿宋_GB2312" w:eastAsia="仿宋_GB2312"/>
          <w:sz w:val="32"/>
          <w:szCs w:val="32"/>
        </w:rPr>
        <w:t>，以及“三公”经费、国有资产管理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预算绩效管理、内控建设等方面</w:t>
      </w:r>
      <w:r>
        <w:rPr>
          <w:rFonts w:hint="eastAsia" w:ascii="仿宋_GB2312" w:eastAsia="仿宋_GB2312"/>
          <w:sz w:val="32"/>
          <w:szCs w:val="32"/>
        </w:rPr>
        <w:t>存在的问题。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（二）重点企业检查内容。</w:t>
      </w:r>
      <w:r>
        <w:rPr>
          <w:rFonts w:hint="eastAsia" w:ascii="仿宋_GB2312" w:eastAsia="仿宋_GB2312"/>
          <w:sz w:val="32"/>
          <w:szCs w:val="32"/>
        </w:rPr>
        <w:t>重点关注有关企业2022年度企业会计准则执行情况，严厉查处伪造会计凭证、虚构经济业务、编制虚假财务会计报告等严重违法行为。同时，关注是否有代理记账机构参与上述相关违法行为。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必要时上述内容可追溯检查以前年度。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对检查中发现为行政企事业单位提供审计、评估服务的中介机构存在执业质量问题的，可依据相关程序延伸检查相关中介机构执业质量。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三、检查实施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检查自本通知下发之日起实施，至10月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31</w:t>
      </w:r>
      <w:r>
        <w:rPr>
          <w:rFonts w:hint="eastAsia" w:ascii="仿宋_GB2312" w:eastAsia="仿宋_GB2312"/>
          <w:sz w:val="32"/>
          <w:szCs w:val="32"/>
        </w:rPr>
        <w:t>日结束。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提高思想认识。要认真学习贯彻《意见》精神，严格落实财会监督专项行动部署要求，进一步提高政治站位，切实履行财会监督主责，及时研究制定检查方案，统筹检查力量，按时高效完成检查任务。要注重发挥基层党组织战斗堡垒作用和党员先锋模范作用，保障检查工作顺利开展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深入调查研究。要坚持检查与调研相结合，认真总结经验做法，对存在的问题深入分析研究，提出有深度、可行性强的意见建议，形成高质量的调研报告及典型案例。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严格依法行政。要认真落实行政执法“三项制度”，严格规范执法程序。要从事实是否清楚、定性是否准确、程序是否合法、尺度是否统一等方面，研究论证检查发现的问题并依法作出处理处罚。检查发现问题涉及其他部门职责的，及时将问题线索移交有关部门处理。要落实好“双随机、一公开”监管要求，全面实行查前公示和查后公告，加大违法违规案例公开曝光力度，切实提高监督检查成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（四）</w:t>
      </w:r>
      <w:r>
        <w:rPr>
          <w:rFonts w:hint="eastAsia" w:ascii="仿宋_GB2312" w:eastAsia="仿宋_GB2312"/>
          <w:sz w:val="32"/>
          <w:szCs w:val="32"/>
        </w:rPr>
        <w:t>严肃工作纪律。要认真落实《财政部会计和评估监督检查工作规程（试行）》，坚持做到事实清楚、责任清晰、证据确凿、定性准确、处理到位。要履职尽责，严格遵守《检查工作纪律》，自觉维护财会监督干部的良好形象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spacing w:line="600" w:lineRule="exact"/>
        <w:ind w:leftChars="200" w:firstLine="320" w:firstLineChars="100"/>
        <w:rPr>
          <w:rFonts w:hint="eastAsia" w:ascii="仿宋_GB2312" w:eastAsia="仿宋_GB2312"/>
          <w:sz w:val="32"/>
          <w:szCs w:val="32"/>
        </w:rPr>
      </w:pPr>
    </w:p>
    <w:p>
      <w:pPr>
        <w:numPr>
          <w:ilvl w:val="0"/>
          <w:numId w:val="0"/>
        </w:numPr>
        <w:spacing w:line="600" w:lineRule="exact"/>
        <w:ind w:leftChars="200" w:firstLine="320" w:firstLineChars="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附件：1.检查情况汇总表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2.检查工作纪律                     </w:t>
      </w:r>
    </w:p>
    <w:p>
      <w:pPr>
        <w:spacing w:line="600" w:lineRule="exact"/>
        <w:ind w:firstLine="640" w:firstLineChars="200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ind w:firstLine="640" w:firstLineChars="200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ind w:firstLine="640" w:firstLineChars="200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ind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eastAsia="仿宋_GB2312"/>
          <w:sz w:val="32"/>
          <w:szCs w:val="32"/>
          <w:lang w:eastAsia="zh-CN"/>
        </w:rPr>
        <w:t>滕州</w:t>
      </w:r>
      <w:r>
        <w:rPr>
          <w:rFonts w:hint="eastAsia" w:ascii="仿宋_GB2312" w:eastAsia="仿宋_GB2312"/>
          <w:sz w:val="32"/>
          <w:szCs w:val="32"/>
        </w:rPr>
        <w:t>市财政局</w:t>
      </w:r>
    </w:p>
    <w:p>
      <w:pPr>
        <w:spacing w:line="600" w:lineRule="exact"/>
        <w:ind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19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spacing w:line="6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信息公开选项</w:t>
      </w:r>
      <w:r>
        <w:rPr>
          <w:rFonts w:hint="eastAsia" w:ascii="仿宋_GB2312" w:eastAsia="仿宋_GB2312"/>
          <w:sz w:val="28"/>
          <w:szCs w:val="28"/>
        </w:rPr>
        <w:t>:</w:t>
      </w:r>
      <w:r>
        <w:rPr>
          <w:rFonts w:hint="eastAsia" w:ascii="方正小标宋简体" w:eastAsia="方正小标宋简体"/>
          <w:color w:val="FFFFFF"/>
          <w:sz w:val="28"/>
          <w:szCs w:val="28"/>
        </w:rPr>
        <w:t xml:space="preserve"> </w:t>
      </w:r>
      <w:r>
        <w:rPr>
          <w:rFonts w:hint="eastAsia" w:ascii="方正小标宋简体" w:eastAsia="方正小标宋简体"/>
          <w:color w:val="000000"/>
          <w:sz w:val="28"/>
          <w:szCs w:val="28"/>
        </w:rPr>
        <w:t>依申请公开</w:t>
      </w:r>
    </w:p>
    <w:p>
      <w:pPr>
        <w:spacing w:line="600" w:lineRule="exact"/>
        <w:rPr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滕州</w:t>
      </w:r>
      <w:r>
        <w:rPr>
          <w:rFonts w:hint="eastAsia" w:ascii="仿宋_GB2312" w:eastAsia="仿宋_GB2312"/>
          <w:sz w:val="28"/>
          <w:szCs w:val="28"/>
        </w:rPr>
        <w:t>市财政局</w: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26035</wp:posOffset>
                </wp:positionV>
                <wp:extent cx="5734050" cy="0"/>
                <wp:effectExtent l="0" t="4445" r="0" b="5080"/>
                <wp:wrapNone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0pt;margin-top:2.05pt;height:0pt;width:451.5pt;z-index:251660288;mso-width-relative:page;mso-height-relative:page;" filled="f" stroked="t" coordsize="21600,21600" o:gfxdata="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NhkEbPQAAAABAEAAA8A&#10;AAAAAAAAAQAgAAAAIgAAAGRycy9kb3ducmV2LnhtbFBLAQIUABQAAAAIAIdO4kDGMFk35gEAANsD&#10;AAAOAAAAAAAAAAEAIAAAAB8BAABkcnMvZTJvRG9jLnhtbFBLBQYAAAAABgAGAFkBAAB3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393700</wp:posOffset>
                </wp:positionV>
                <wp:extent cx="5734050" cy="0"/>
                <wp:effectExtent l="0" t="6350" r="0" b="635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0pt;margin-top:31pt;height:0pt;width:451.5pt;z-index:251659264;mso-width-relative:page;mso-height-relative:page;" filled="f" stroked="t" coordsize="21600,21600" o:gfxdata="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zFuMbVAAAA&#10;BgEAAA8AAAAAAAAAAQAgAAAAIgAAAGRycy9kb3ducmV2LnhtbFBLAQIUABQAAAAIAIdO4kC0UQqU&#10;5wEAANwDAAAOAAAAAAAAAAEAIAAAACQBAABkcnMvZTJvRG9jLnhtbFBLBQYAAAAABgAGAFkBAAB9&#10;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办公室</w:t>
      </w:r>
      <w:r>
        <w:rPr>
          <w:rFonts w:ascii="仿宋_GB2312" w:eastAsia="仿宋_GB2312"/>
          <w:sz w:val="28"/>
          <w:szCs w:val="28"/>
        </w:rPr>
        <w:t xml:space="preserve">        </w:t>
      </w:r>
      <w:r>
        <w:rPr>
          <w:rFonts w:hint="eastAsia" w:ascii="仿宋_GB2312" w:eastAsia="仿宋_GB2312"/>
          <w:sz w:val="28"/>
          <w:szCs w:val="28"/>
        </w:rPr>
        <w:t xml:space="preserve">                 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19</w:t>
      </w:r>
      <w:r>
        <w:rPr>
          <w:rFonts w:hint="eastAsia" w:ascii="仿宋_GB2312" w:eastAsia="仿宋_GB2312"/>
          <w:sz w:val="28"/>
          <w:szCs w:val="28"/>
        </w:rPr>
        <w:t xml:space="preserve">日印发 </w:t>
      </w:r>
    </w:p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附件1：</w:t>
      </w:r>
    </w:p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检查情况汇总表</w:t>
      </w:r>
    </w:p>
    <w:tbl>
      <w:tblPr>
        <w:tblStyle w:val="4"/>
        <w:tblW w:w="8726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4869"/>
        <w:gridCol w:w="993"/>
        <w:gridCol w:w="992"/>
        <w:gridCol w:w="10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726" w:type="dxa"/>
            <w:gridSpan w:val="5"/>
            <w:noWrap/>
            <w:vAlign w:val="bottom"/>
          </w:tcPr>
          <w:p>
            <w:pPr>
              <w:widowControl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填报单位：        （盖章）                   联系人及联系方式：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Calibri" w:hAnsi="Calibri" w:cs="宋体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数量（户/人）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金额</w:t>
            </w:r>
          </w:p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检查基本情况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（一）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投入检查力量总人数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 xml:space="preserve">   其中：聘用专业人员数量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（二）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检查单位户数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 xml:space="preserve">   </w:t>
            </w:r>
            <w:r>
              <w:rPr>
                <w:rFonts w:eastAsia="华文中宋"/>
                <w:kern w:val="0"/>
                <w:sz w:val="20"/>
                <w:szCs w:val="20"/>
              </w:rPr>
              <w:t>1.</w:t>
            </w: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企业和行政事业单位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 xml:space="preserve">   </w:t>
            </w:r>
            <w:r>
              <w:rPr>
                <w:rFonts w:eastAsia="华文中宋"/>
                <w:kern w:val="0"/>
                <w:sz w:val="20"/>
                <w:szCs w:val="20"/>
              </w:rPr>
              <w:t>2</w:t>
            </w: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.会计师事务所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 xml:space="preserve">   </w:t>
            </w:r>
            <w:r>
              <w:rPr>
                <w:rFonts w:eastAsia="华文中宋"/>
                <w:kern w:val="0"/>
                <w:sz w:val="20"/>
                <w:szCs w:val="20"/>
              </w:rPr>
              <w:t>3.</w:t>
            </w: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资产评估机构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（三）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检查发现违规问题（户数和金额）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二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处理处罚企业和行政事业单位和责任人情况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（一）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处理处罚情况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1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.补缴税款（户数和金额）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2.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处以罚款（户数和金额）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3.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移送其他部门处理（户数和金额）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4.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其他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（二）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处理处罚责任人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 xml:space="preserve">     其中：罚款（人数和金额）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            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移送其他部门处理（人数和金额）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三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处理处罚会计师事务所和注册会计师情况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（一）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处理处罚会计师事务所情况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1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.行政处罚（户数）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   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其中：行政警告（户数）</w:t>
            </w:r>
            <w:r>
              <w:rPr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                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暂停执业（户数）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                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撤销事务所</w:t>
            </w:r>
            <w:r>
              <w:rPr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（户数）</w:t>
            </w:r>
            <w:r>
              <w:rPr>
                <w:kern w:val="0"/>
                <w:sz w:val="20"/>
                <w:szCs w:val="20"/>
              </w:rPr>
              <w:t xml:space="preserve">    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                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没收及罚款（户数和金额）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2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.行政处理（户数）</w:t>
            </w:r>
            <w:r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3.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移送其他部门处理（户数和金额）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（二）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处理处罚注册会计师情况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1.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行政处罚（人数）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   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其中：行政警告（人数）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                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暂停执业（人数）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                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吊销证书</w:t>
            </w:r>
            <w:r>
              <w:rPr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（人数）</w:t>
            </w:r>
            <w:r>
              <w:rPr>
                <w:kern w:val="0"/>
                <w:sz w:val="20"/>
                <w:szCs w:val="20"/>
              </w:rPr>
              <w:t xml:space="preserve"> 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2.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行政处理（人数）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四</w:t>
            </w:r>
          </w:p>
        </w:tc>
        <w:tc>
          <w:tcPr>
            <w:tcW w:w="4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处理处罚资产评估机构和资产评估师情况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（一）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处理处罚资产评估机构情况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1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.行政处罚（户数）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    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其中：行政警告（户数）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                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停止从业（户数）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                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没收及罚款（户数和金额）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                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移送工商部门吊销营业执照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2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.行政处理（户数）</w:t>
            </w:r>
            <w:r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（二）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处理处罚资产评估师情况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1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.行政处罚（人数）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   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其中：行政警告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                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停止从业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2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.行政处理（人数）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五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/>
                <w:b/>
                <w:bCs/>
                <w:kern w:val="0"/>
                <w:sz w:val="20"/>
                <w:szCs w:val="20"/>
              </w:rPr>
              <w:t>公示公告情况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1.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查前公示检查名单的财政部门数量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 xml:space="preserve">    其中：省本级检查名单是否公示（是／否）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2.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查前公示被查单位的数量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3.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查后公告的财政部门数量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 xml:space="preserve">    其中：省本级检查结果是否公告（是／否）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     4.</w:t>
            </w:r>
            <w:r>
              <w:rPr>
                <w:rFonts w:hint="eastAsia" w:ascii="华文中宋" w:hAnsi="华文中宋" w:eastAsia="华文中宋"/>
                <w:kern w:val="0"/>
                <w:sz w:val="20"/>
                <w:szCs w:val="20"/>
              </w:rPr>
              <w:t>查后公告被查单位总数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 xml:space="preserve">     其中：公告会计师事务所数量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48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 w:cs="宋体"/>
                <w:kern w:val="0"/>
                <w:sz w:val="20"/>
                <w:szCs w:val="20"/>
              </w:rPr>
            </w:pPr>
            <w:r>
              <w:rPr>
                <w:rFonts w:hint="eastAsia" w:ascii="华文中宋" w:hAnsi="华文中宋" w:eastAsia="华文中宋" w:cs="宋体"/>
                <w:kern w:val="0"/>
                <w:sz w:val="20"/>
                <w:szCs w:val="20"/>
              </w:rPr>
              <w:t xml:space="preserve">           公告资产评估机构数量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</w:trPr>
        <w:tc>
          <w:tcPr>
            <w:tcW w:w="8726" w:type="dxa"/>
            <w:gridSpan w:val="5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注：1.处罚的统计以已生效的行政处罚事项决定书为准。</w:t>
            </w:r>
          </w:p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2.为避免重复统计，若对会计师事务所或注册会计师同时作出两项以上的行政处罚，以较重的行政处罚作为数量统计口径。例如：对某会计师事务所作出暂停执业及没收违法所得的行政处罚，“暂停执业”数量栏填写“1”，“没收及罚款”栏不填写数量，仅填写金额。</w:t>
            </w:r>
          </w:p>
        </w:tc>
      </w:tr>
    </w:tbl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附件2：</w:t>
      </w:r>
    </w:p>
    <w:p>
      <w:pPr>
        <w:overflowPunct w:val="0"/>
        <w:spacing w:line="580" w:lineRule="exact"/>
        <w:jc w:val="center"/>
        <w:rPr>
          <w:rFonts w:ascii="方正小标宋简体" w:hAnsi="方正小标宋简体" w:eastAsia="方正小标宋简体" w:cs="文星简大标宋"/>
          <w:sz w:val="44"/>
          <w:szCs w:val="44"/>
        </w:rPr>
      </w:pPr>
    </w:p>
    <w:p>
      <w:pPr>
        <w:overflowPunct w:val="0"/>
        <w:spacing w:line="580" w:lineRule="exact"/>
        <w:jc w:val="center"/>
        <w:rPr>
          <w:rFonts w:ascii="方正小标宋简体" w:hAnsi="方正小标宋简体" w:eastAsia="方正小标宋简体" w:cs="文星简大标宋"/>
          <w:sz w:val="44"/>
          <w:szCs w:val="44"/>
        </w:rPr>
      </w:pPr>
      <w:r>
        <w:rPr>
          <w:rFonts w:hint="eastAsia" w:ascii="方正小标宋简体" w:hAnsi="方正小标宋简体" w:eastAsia="方正小标宋简体" w:cs="文星简大标宋"/>
          <w:sz w:val="44"/>
          <w:szCs w:val="44"/>
        </w:rPr>
        <w:t>检查工作纪律</w:t>
      </w:r>
    </w:p>
    <w:p>
      <w:pPr>
        <w:overflowPunct w:val="0"/>
        <w:spacing w:line="54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一、四项纪律</w:t>
      </w:r>
    </w:p>
    <w:p>
      <w:pPr>
        <w:overflowPunct w:val="0"/>
        <w:spacing w:line="54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（一）强化政治纪律，坚定信念勇于担当。</w:t>
      </w:r>
    </w:p>
    <w:p>
      <w:pPr>
        <w:overflowPunct w:val="0"/>
        <w:spacing w:line="54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（二）强化廉政纪律，廉洁自律守住底线。</w:t>
      </w:r>
    </w:p>
    <w:p>
      <w:pPr>
        <w:overflowPunct w:val="0"/>
        <w:spacing w:line="54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（三）强化工作纪律，依法用权作风过硬。</w:t>
      </w:r>
    </w:p>
    <w:p>
      <w:pPr>
        <w:overflowPunct w:val="0"/>
        <w:spacing w:line="54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（四）强化保密纪律，筑牢防线严守秘密。</w:t>
      </w:r>
    </w:p>
    <w:p>
      <w:pPr>
        <w:overflowPunct w:val="0"/>
        <w:spacing w:line="540" w:lineRule="exact"/>
        <w:ind w:firstLine="640" w:firstLineChars="200"/>
        <w:rPr>
          <w:rFonts w:ascii="黑体" w:hAnsi="Calibri" w:eastAsia="黑体"/>
          <w:bCs/>
          <w:color w:val="000000"/>
          <w:sz w:val="32"/>
          <w:szCs w:val="32"/>
        </w:rPr>
      </w:pPr>
      <w:r>
        <w:rPr>
          <w:rFonts w:hint="eastAsia" w:ascii="黑体" w:eastAsia="黑体"/>
          <w:bCs/>
          <w:color w:val="000000"/>
          <w:sz w:val="32"/>
          <w:szCs w:val="32"/>
        </w:rPr>
        <w:t>二、八个不准</w:t>
      </w:r>
    </w:p>
    <w:p>
      <w:pPr>
        <w:overflowPunct w:val="0"/>
        <w:spacing w:line="54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（一）不准接受被检查单位的超标住宿安排。</w:t>
      </w:r>
    </w:p>
    <w:p>
      <w:pPr>
        <w:overflowPunct w:val="0"/>
        <w:spacing w:line="54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（二）不准违规使用被检查单位的交通工具。</w:t>
      </w:r>
    </w:p>
    <w:p>
      <w:pPr>
        <w:overflowPunct w:val="0"/>
        <w:spacing w:line="54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（三）不准接受被检查单位安排的宴请、旅游、</w:t>
      </w:r>
      <w:r>
        <w:rPr>
          <w:rFonts w:hint="eastAsia" w:ascii="仿宋_GB2312" w:eastAsia="仿宋_GB2312"/>
          <w:color w:val="000000"/>
          <w:sz w:val="32"/>
          <w:szCs w:val="32"/>
        </w:rPr>
        <w:t>健身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和娱乐活动。</w:t>
      </w:r>
    </w:p>
    <w:p>
      <w:pPr>
        <w:overflowPunct w:val="0"/>
        <w:spacing w:line="54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（四）不准收受被检查单位的礼品、礼金、消费卡、移动支付红包、虚拟货币等。</w:t>
      </w:r>
    </w:p>
    <w:p>
      <w:pPr>
        <w:overflowPunct w:val="0"/>
        <w:spacing w:line="54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（五）不准在被检查单位报销费用。</w:t>
      </w:r>
    </w:p>
    <w:p>
      <w:pPr>
        <w:overflowPunct w:val="0"/>
        <w:spacing w:line="54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（六）不准利用检查工作便利谋取个人利益。</w:t>
      </w:r>
    </w:p>
    <w:p>
      <w:pPr>
        <w:overflowPunct w:val="0"/>
        <w:spacing w:line="54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（七）不准接受他人请托，对检查发现的问题隐瞒不报。</w:t>
      </w:r>
    </w:p>
    <w:p>
      <w:pPr>
        <w:overflowPunct w:val="0"/>
        <w:spacing w:line="540" w:lineRule="exact"/>
        <w:ind w:firstLine="640" w:firstLineChars="200"/>
        <w:rPr>
          <w:rFonts w:ascii="仿宋_GB2312" w:eastAsia="仿宋_GB2312"/>
          <w:sz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（八）未经财政部门批准，不准对外公开发布或透露检查信息。</w:t>
      </w:r>
    </w:p>
    <w:p>
      <w:pPr>
        <w:spacing w:line="600" w:lineRule="exact"/>
        <w:rPr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</w:t>
      </w:r>
    </w:p>
    <w:p/>
    <w:sectPr>
      <w:footerReference r:id="rId3" w:type="default"/>
      <w:footerReference r:id="rId4" w:type="even"/>
      <w:pgSz w:w="11906" w:h="16838"/>
      <w:pgMar w:top="1701" w:right="1474" w:bottom="1587" w:left="1474" w:header="851" w:footer="1361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简大标宋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宋体" w:hAnsi="宋体"/>
        <w:sz w:val="24"/>
        <w:szCs w:val="24"/>
      </w:rPr>
    </w:pPr>
    <w:r>
      <w:rPr>
        <w:rStyle w:val="6"/>
        <w:rFonts w:hint="eastAsia" w:ascii="宋体" w:hAnsi="宋体"/>
        <w:sz w:val="24"/>
        <w:szCs w:val="24"/>
      </w:rPr>
      <w:t xml:space="preserve">— </w:t>
    </w:r>
    <w:r>
      <w:rPr>
        <w:rStyle w:val="6"/>
        <w:rFonts w:ascii="宋体" w:hAnsi="宋体"/>
        <w:sz w:val="24"/>
        <w:szCs w:val="24"/>
      </w:rPr>
      <w:fldChar w:fldCharType="begin"/>
    </w:r>
    <w:r>
      <w:rPr>
        <w:rStyle w:val="6"/>
        <w:rFonts w:ascii="宋体" w:hAnsi="宋体"/>
        <w:sz w:val="24"/>
        <w:szCs w:val="24"/>
      </w:rPr>
      <w:instrText xml:space="preserve">PAGE  </w:instrText>
    </w:r>
    <w:r>
      <w:rPr>
        <w:rStyle w:val="6"/>
        <w:rFonts w:ascii="宋体" w:hAnsi="宋体"/>
        <w:sz w:val="24"/>
        <w:szCs w:val="24"/>
      </w:rPr>
      <w:fldChar w:fldCharType="separate"/>
    </w:r>
    <w:r>
      <w:rPr>
        <w:rStyle w:val="6"/>
        <w:rFonts w:ascii="宋体" w:hAnsi="宋体"/>
        <w:sz w:val="24"/>
        <w:szCs w:val="24"/>
      </w:rPr>
      <w:t>2</w:t>
    </w:r>
    <w:r>
      <w:rPr>
        <w:rStyle w:val="6"/>
        <w:rFonts w:ascii="宋体" w:hAnsi="宋体"/>
        <w:sz w:val="24"/>
        <w:szCs w:val="24"/>
      </w:rPr>
      <w:fldChar w:fldCharType="end"/>
    </w:r>
    <w:r>
      <w:rPr>
        <w:rStyle w:val="6"/>
        <w:rFonts w:hint="eastAsia" w:ascii="宋体" w:hAnsi="宋体"/>
        <w:sz w:val="24"/>
        <w:szCs w:val="24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3E73D2"/>
    <w:multiLevelType w:val="singleLevel"/>
    <w:tmpl w:val="FF3E73D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5NmVmZGZhYmIzOGQ1YjBhZTMxNDEwNjNhNDYxMTEifQ=="/>
  </w:docVars>
  <w:rsids>
    <w:rsidRoot w:val="00436E15"/>
    <w:rsid w:val="001B681E"/>
    <w:rsid w:val="001C7524"/>
    <w:rsid w:val="001D67E5"/>
    <w:rsid w:val="00271418"/>
    <w:rsid w:val="003A2991"/>
    <w:rsid w:val="00401A25"/>
    <w:rsid w:val="00436E15"/>
    <w:rsid w:val="0045577A"/>
    <w:rsid w:val="0045586A"/>
    <w:rsid w:val="004E7922"/>
    <w:rsid w:val="00583146"/>
    <w:rsid w:val="0058648B"/>
    <w:rsid w:val="006B3422"/>
    <w:rsid w:val="006C103E"/>
    <w:rsid w:val="00734DF8"/>
    <w:rsid w:val="00796DB7"/>
    <w:rsid w:val="007C3AE7"/>
    <w:rsid w:val="00822FE1"/>
    <w:rsid w:val="009173D3"/>
    <w:rsid w:val="00AA2196"/>
    <w:rsid w:val="00BC2615"/>
    <w:rsid w:val="00BC7254"/>
    <w:rsid w:val="00C6775B"/>
    <w:rsid w:val="00CC363F"/>
    <w:rsid w:val="00D836B6"/>
    <w:rsid w:val="00DB586B"/>
    <w:rsid w:val="00EE3C14"/>
    <w:rsid w:val="00EF4C44"/>
    <w:rsid w:val="00FC4736"/>
    <w:rsid w:val="04CD69E4"/>
    <w:rsid w:val="08C35398"/>
    <w:rsid w:val="09DA6CC4"/>
    <w:rsid w:val="0FE54120"/>
    <w:rsid w:val="106253BD"/>
    <w:rsid w:val="132931AE"/>
    <w:rsid w:val="1BCD6688"/>
    <w:rsid w:val="1DFFD2C0"/>
    <w:rsid w:val="1EB93882"/>
    <w:rsid w:val="24444B67"/>
    <w:rsid w:val="32411190"/>
    <w:rsid w:val="328D7D9B"/>
    <w:rsid w:val="373D6F05"/>
    <w:rsid w:val="37FA2449"/>
    <w:rsid w:val="38C353CF"/>
    <w:rsid w:val="3A053765"/>
    <w:rsid w:val="3FDF3090"/>
    <w:rsid w:val="49FF7E3C"/>
    <w:rsid w:val="4BEC2CBC"/>
    <w:rsid w:val="534F9AB1"/>
    <w:rsid w:val="553A43B3"/>
    <w:rsid w:val="644926E2"/>
    <w:rsid w:val="667271DD"/>
    <w:rsid w:val="6BAE0095"/>
    <w:rsid w:val="767449FE"/>
    <w:rsid w:val="788E6752"/>
    <w:rsid w:val="7D46B844"/>
    <w:rsid w:val="7EFF47A3"/>
    <w:rsid w:val="7FE77615"/>
    <w:rsid w:val="9DDDDE41"/>
    <w:rsid w:val="B2AF659C"/>
    <w:rsid w:val="B762D03D"/>
    <w:rsid w:val="BFEFD48C"/>
    <w:rsid w:val="D57F539D"/>
    <w:rsid w:val="DDFF337E"/>
    <w:rsid w:val="DFCE67A9"/>
    <w:rsid w:val="FB3FFEAA"/>
    <w:rsid w:val="FCFF3758"/>
    <w:rsid w:val="FFF8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2391</Words>
  <Characters>2465</Characters>
  <Lines>27</Lines>
  <Paragraphs>7</Paragraphs>
  <TotalTime>5</TotalTime>
  <ScaleCrop>false</ScaleCrop>
  <LinksUpToDate>false</LinksUpToDate>
  <CharactersWithSpaces>3239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2022-07-02T02:47:00Z</dcterms:created>
  <dc:creator>梁斐</dc:creator>
  <cp:lastModifiedBy>言  吾</cp:lastModifiedBy>
  <cp:lastPrinted>2023-10-18T07:07:30Z</cp:lastPrinted>
  <dcterms:modified xsi:type="dcterms:W3CDTF">2023-10-18T07:07:36Z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6D896D3B20664D84A2A82C5716C36D6B_13</vt:lpwstr>
  </property>
</Properties>
</file>